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02" w:rsidRDefault="008F4A02" w:rsidP="008F4A02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附件3：</w:t>
      </w:r>
    </w:p>
    <w:p w:rsidR="008F4A02" w:rsidRPr="009519A5" w:rsidRDefault="008F4A02" w:rsidP="008F4A02">
      <w:pPr>
        <w:widowControl/>
        <w:jc w:val="center"/>
        <w:rPr>
          <w:rFonts w:asciiTheme="majorHAnsi" w:eastAsia="方正小标宋简体" w:hAnsiTheme="majorHAnsi" w:cs="方正小标宋简体"/>
          <w:color w:val="000000"/>
          <w:kern w:val="0"/>
          <w:sz w:val="36"/>
          <w:szCs w:val="36"/>
        </w:rPr>
      </w:pPr>
      <w:r w:rsidRPr="009519A5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</w:rPr>
        <w:t>武汉职业技术学院部门自行采购询价单</w:t>
      </w:r>
    </w:p>
    <w:p w:rsidR="008F4A02" w:rsidRDefault="008F4A02" w:rsidP="008F4A02">
      <w:pPr>
        <w:widowControl/>
        <w:spacing w:line="360" w:lineRule="exact"/>
        <w:jc w:val="righ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 xml:space="preserve">024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月 </w:t>
      </w: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134"/>
        <w:gridCol w:w="942"/>
        <w:gridCol w:w="1176"/>
        <w:gridCol w:w="1417"/>
        <w:gridCol w:w="434"/>
        <w:gridCol w:w="664"/>
        <w:gridCol w:w="612"/>
      </w:tblGrid>
      <w:tr w:rsidR="008F4A02" w:rsidTr="008F4A02">
        <w:trPr>
          <w:trHeight w:val="577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商学院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采购编号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8F4A02" w:rsidTr="008F4A02">
        <w:trPr>
          <w:cantSplit/>
          <w:trHeight w:val="727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潘老师</w:t>
            </w: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经办人电话​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 w:rsidRPr="008F4A0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Pr="008F4A02">
              <w:rPr>
                <w:rFonts w:ascii="仿宋_GB2312" w:eastAsia="仿宋_GB2312" w:hAnsi="仿宋_GB2312" w:cs="仿宋_GB2312"/>
                <w:sz w:val="28"/>
                <w:szCs w:val="28"/>
              </w:rPr>
              <w:t>3367240606</w:t>
            </w:r>
          </w:p>
        </w:tc>
      </w:tr>
      <w:tr w:rsidR="008F4A02" w:rsidTr="008F4A02">
        <w:trPr>
          <w:cantSplit/>
          <w:trHeight w:val="84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 注</w:t>
            </w:r>
          </w:p>
        </w:tc>
      </w:tr>
      <w:tr w:rsidR="008F4A02" w:rsidTr="008F4A02">
        <w:trPr>
          <w:cantSplit/>
          <w:trHeight w:hRule="exact" w:val="1633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网络优化与维护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服务器、网络设备之间互连线路优化与维护</w:t>
            </w:r>
            <w:proofErr w:type="gramStart"/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期间实训室系统</w:t>
            </w:r>
            <w:proofErr w:type="gramEnd"/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应急保障措施和服务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Pr="008F4A02">
              <w:rPr>
                <w:rFonts w:ascii="仿宋" w:eastAsia="仿宋" w:hAnsi="仿宋" w:cs="MS Gothic"/>
                <w:kern w:val="0"/>
                <w:szCs w:val="21"/>
              </w:rPr>
              <w:t>20</w:t>
            </w: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半天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spacing w:line="180" w:lineRule="auto"/>
              <w:rPr>
                <w:rFonts w:ascii="仿宋" w:eastAsia="仿宋" w:hAnsi="仿宋"/>
              </w:rPr>
            </w:pPr>
            <w:r w:rsidRPr="008F4A02">
              <w:rPr>
                <w:rFonts w:ascii="MS Gothic" w:eastAsia="MS Gothic" w:hAnsi="MS Gothic" w:cs="MS Gothic" w:hint="eastAsia"/>
              </w:rPr>
              <w:t>​</w:t>
            </w: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</w:tr>
      <w:tr w:rsidR="008F4A02" w:rsidTr="008F4A02">
        <w:trPr>
          <w:cantSplit/>
          <w:trHeight w:hRule="exact" w:val="1269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应急保障服务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比赛/竞赛/突发病毒</w:t>
            </w:r>
            <w:proofErr w:type="gramStart"/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期间实训室系统</w:t>
            </w:r>
            <w:proofErr w:type="gramEnd"/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应急保障措施和服务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/>
                <w:kern w:val="0"/>
                <w:szCs w:val="21"/>
              </w:rPr>
              <w:t>20</w:t>
            </w: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半天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1260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调试服务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代理服务器、交换机配置调试、优化、更新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/>
                <w:kern w:val="0"/>
                <w:szCs w:val="21"/>
              </w:rPr>
              <w:t>20</w:t>
            </w: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半天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1278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实训室操作系统及软件维护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实训室操作系统优化升级、教学软件更新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0间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1423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实训室硬件检修维护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实训室过保硬件检查，送修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50台/套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1414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实训室耗材批量更换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实训室批量更换主板电池，电源线，接线板、鼠标键盘等耗材服务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/>
                <w:kern w:val="0"/>
                <w:szCs w:val="21"/>
              </w:rPr>
              <w:t>2</w:t>
            </w: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0半天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1266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8F4A0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视频设备维护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一体化电子教学设备维护、前端电视机屏面显示系统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宋体" w:hint="eastAsia"/>
                <w:kern w:val="0"/>
                <w:szCs w:val="21"/>
              </w:rPr>
              <w:t>10台/套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F4A02" w:rsidRPr="008F4A02" w:rsidRDefault="008F4A02" w:rsidP="008F4A02">
            <w:pPr>
              <w:rPr>
                <w:rFonts w:ascii="仿宋" w:eastAsia="仿宋" w:hAnsi="仿宋"/>
              </w:rPr>
            </w:pPr>
            <w:r w:rsidRPr="008F4A02">
              <w:rPr>
                <w:rFonts w:ascii="仿宋" w:eastAsia="仿宋" w:hAnsi="仿宋" w:hint="eastAsia"/>
              </w:rPr>
              <w:t>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1</w:t>
            </w:r>
            <w:r w:rsidRPr="008F4A02">
              <w:rPr>
                <w:rFonts w:ascii="仿宋" w:eastAsia="仿宋" w:hAnsi="仿宋" w:hint="eastAsia"/>
              </w:rPr>
              <w:t>日至202</w:t>
            </w:r>
            <w:r w:rsidRPr="008F4A02">
              <w:rPr>
                <w:rFonts w:ascii="仿宋" w:eastAsia="仿宋" w:hAnsi="仿宋"/>
              </w:rPr>
              <w:t>5</w:t>
            </w:r>
            <w:r w:rsidRPr="008F4A02">
              <w:rPr>
                <w:rFonts w:ascii="仿宋" w:eastAsia="仿宋" w:hAnsi="仿宋" w:hint="eastAsia"/>
              </w:rPr>
              <w:t>年</w:t>
            </w:r>
            <w:r w:rsidRPr="008F4A02">
              <w:rPr>
                <w:rFonts w:ascii="仿宋" w:eastAsia="仿宋" w:hAnsi="仿宋"/>
              </w:rPr>
              <w:t>12</w:t>
            </w:r>
            <w:r w:rsidRPr="008F4A02">
              <w:rPr>
                <w:rFonts w:ascii="仿宋" w:eastAsia="仿宋" w:hAnsi="仿宋" w:hint="eastAsia"/>
              </w:rPr>
              <w:t>月</w:t>
            </w:r>
            <w:r w:rsidRPr="008F4A02">
              <w:rPr>
                <w:rFonts w:ascii="仿宋" w:eastAsia="仿宋" w:hAnsi="仿宋"/>
              </w:rPr>
              <w:t>31</w:t>
            </w:r>
            <w:r w:rsidRPr="008F4A02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" w:eastAsia="仿宋" w:hAnsi="仿宋" w:cs="MS Gothic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商学院</w:t>
            </w:r>
          </w:p>
          <w:p w:rsidR="008F4A02" w:rsidRPr="008F4A02" w:rsidRDefault="008F4A02" w:rsidP="008F4A0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F4A02">
              <w:rPr>
                <w:rFonts w:ascii="仿宋" w:eastAsia="仿宋" w:hAnsi="仿宋" w:cs="MS Gothic" w:hint="eastAsia"/>
                <w:kern w:val="0"/>
                <w:szCs w:val="21"/>
              </w:rPr>
              <w:t>实训中心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8F4A0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val="989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商品（服务）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规格</w:t>
            </w:r>
          </w:p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配置或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件/台  /套）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供货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单价</w:t>
            </w:r>
          </w:p>
          <w:p w:rsidR="008F4A02" w:rsidRDefault="008F4A02" w:rsidP="00762F8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总价</w:t>
            </w:r>
          </w:p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其他承诺</w:t>
            </w:r>
          </w:p>
        </w:tc>
      </w:tr>
      <w:tr w:rsidR="008F4A02" w:rsidTr="008F4A02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​</w:t>
            </w:r>
          </w:p>
        </w:tc>
      </w:tr>
      <w:tr w:rsidR="008F4A02" w:rsidTr="008F4A02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552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val="1447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供应商名称</w:t>
            </w:r>
          </w:p>
          <w:p w:rsidR="008F4A02" w:rsidRDefault="008F4A02" w:rsidP="00762F85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F4A02" w:rsidTr="008F4A02">
        <w:trPr>
          <w:cantSplit/>
          <w:trHeight w:val="134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F4A02" w:rsidRDefault="008F4A02" w:rsidP="00762F8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877509" w:rsidRDefault="00877509"/>
    <w:sectPr w:rsidR="0087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AA" w:rsidRDefault="003270AA" w:rsidP="008F4A02">
      <w:r>
        <w:separator/>
      </w:r>
    </w:p>
  </w:endnote>
  <w:endnote w:type="continuationSeparator" w:id="0">
    <w:p w:rsidR="003270AA" w:rsidRDefault="003270AA" w:rsidP="008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AA" w:rsidRDefault="003270AA" w:rsidP="008F4A02">
      <w:r>
        <w:separator/>
      </w:r>
    </w:p>
  </w:footnote>
  <w:footnote w:type="continuationSeparator" w:id="0">
    <w:p w:rsidR="003270AA" w:rsidRDefault="003270AA" w:rsidP="008F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02"/>
    <w:rsid w:val="003270AA"/>
    <w:rsid w:val="005E7686"/>
    <w:rsid w:val="00877509"/>
    <w:rsid w:val="008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37F2"/>
  <w15:chartTrackingRefBased/>
  <w15:docId w15:val="{A7CF184C-7C1F-466F-ADB6-C32B8BD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F4A0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8F4A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F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A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736</Characters>
  <Application>Microsoft Office Word</Application>
  <DocSecurity>0</DocSecurity>
  <Lines>6</Lines>
  <Paragraphs>1</Paragraphs>
  <ScaleCrop>false</ScaleCrop>
  <Company>Organization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2024-12-11T00:52:00Z</dcterms:created>
  <dcterms:modified xsi:type="dcterms:W3CDTF">2024-12-11T01:12:00Z</dcterms:modified>
</cp:coreProperties>
</file>